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3C16" w14:textId="48C8E7DC" w:rsidR="004C4A18" w:rsidRDefault="00A15A3F" w:rsidP="004B6BF6">
      <w:pPr>
        <w:pStyle w:val="Otsikko1"/>
      </w:pPr>
      <w:r>
        <w:t>LIIKUNNAN JA VALMENNUKSEN</w:t>
      </w:r>
      <w:r w:rsidR="00007A78">
        <w:t xml:space="preserve"> </w:t>
      </w:r>
      <w:r>
        <w:t>AMMATTITUTKINTO, Valmennuksen osaamisala</w:t>
      </w:r>
      <w:r w:rsidR="00007A78">
        <w:t>(VAT)</w:t>
      </w:r>
      <w:r>
        <w:t>.  Tutkintonimike: Valmentaja</w:t>
      </w:r>
    </w:p>
    <w:p w14:paraId="396BE52C" w14:textId="77777777" w:rsidR="004B6BF6" w:rsidRPr="004B6BF6" w:rsidRDefault="004B6BF6" w:rsidP="004B6BF6"/>
    <w:p w14:paraId="7B4396E8" w14:textId="0A9534C7" w:rsidR="00007A78" w:rsidRPr="004B6BF6" w:rsidRDefault="00A15A3F">
      <w:pPr>
        <w:rPr>
          <w:sz w:val="24"/>
          <w:szCs w:val="24"/>
        </w:rPr>
      </w:pPr>
      <w:r>
        <w:rPr>
          <w:sz w:val="24"/>
          <w:szCs w:val="24"/>
        </w:rPr>
        <w:t>Liikunnan ja valmennuksen</w:t>
      </w:r>
      <w:r w:rsidR="00007A78" w:rsidRPr="004B6BF6">
        <w:rPr>
          <w:sz w:val="24"/>
          <w:szCs w:val="24"/>
        </w:rPr>
        <w:t xml:space="preserve"> ammattitutkinto on ammatillinen näyttötutkinto</w:t>
      </w:r>
      <w:r w:rsidR="00EC33A3" w:rsidRPr="004B6BF6">
        <w:rPr>
          <w:sz w:val="24"/>
          <w:szCs w:val="24"/>
        </w:rPr>
        <w:t xml:space="preserve">. </w:t>
      </w:r>
    </w:p>
    <w:p w14:paraId="6B013EE2" w14:textId="77777777" w:rsidR="00007A78" w:rsidRPr="004B6BF6" w:rsidRDefault="00007A78" w:rsidP="00007A78">
      <w:pPr>
        <w:pStyle w:val="NormaaliWWW"/>
        <w:rPr>
          <w:rFonts w:asciiTheme="minorHAnsi" w:eastAsiaTheme="minorHAnsi" w:hAnsiTheme="minorHAnsi" w:cstheme="minorBidi"/>
          <w:lang w:eastAsia="en-US"/>
        </w:rPr>
      </w:pPr>
      <w:r w:rsidRPr="004B6BF6">
        <w:rPr>
          <w:rFonts w:asciiTheme="minorHAnsi" w:eastAsiaTheme="minorHAnsi" w:hAnsiTheme="minorHAnsi" w:cstheme="minorBidi"/>
          <w:lang w:eastAsia="en-US"/>
        </w:rPr>
        <w:t>Näyttötutkinto on erityisesti aikuisille suunniteltu joustava tutkinnon suorittamistapa, jossa periaatteena on asiakaslähtöisyys. Näyttötutkinnoissa ammattitaito osoitetaan työelämässä riippumatta siitä, onko osaaminen kertynyt työkokemuksen, opintojen tai muun toiminnan kautta. Kaikki ammatilliset perustutkinnot, ammattitutkinnot ja erikoisammattitutkinnot voidaan suorittaa näyttötutkintona.</w:t>
      </w:r>
    </w:p>
    <w:p w14:paraId="29D66701" w14:textId="6343BDB3" w:rsidR="00007A78" w:rsidRPr="004B6BF6" w:rsidRDefault="00007A78" w:rsidP="00007A78">
      <w:pPr>
        <w:pStyle w:val="NormaaliWWW"/>
        <w:rPr>
          <w:rFonts w:asciiTheme="minorHAnsi" w:eastAsiaTheme="minorHAnsi" w:hAnsiTheme="minorHAnsi" w:cstheme="minorBidi"/>
          <w:lang w:eastAsia="en-US"/>
        </w:rPr>
      </w:pPr>
      <w:r w:rsidRPr="004B6BF6">
        <w:rPr>
          <w:rFonts w:asciiTheme="minorHAnsi" w:eastAsiaTheme="minorHAnsi" w:hAnsiTheme="minorHAnsi" w:cstheme="minorBidi"/>
          <w:lang w:eastAsia="en-US"/>
        </w:rPr>
        <w:t>Näyttötutkinto suoritetaan osoittamalla tutkinnon perusteissa edellytetty ammattitaito ensisijaisesti aidoissa työelämän tuotanto- ja palvelutilanteissa. Näyttötutkinnon suorittaja osallistuu usein valmistavaan koulutukseen, jonka avulla hankitaan tarvittavaa ammattitaitoa. Henkilö, jolla on jo riittävä ammattitaito voi suorittaa näyttötutkinnon tai sen osan osallistumatta koulutukseen.</w:t>
      </w:r>
      <w:r w:rsidR="00EC33A3" w:rsidRPr="004B6BF6">
        <w:rPr>
          <w:rFonts w:asciiTheme="minorHAnsi" w:eastAsiaTheme="minorHAnsi" w:hAnsiTheme="minorHAnsi" w:cstheme="minorBidi"/>
          <w:lang w:eastAsia="en-US"/>
        </w:rPr>
        <w:t xml:space="preserve">  </w:t>
      </w:r>
      <w:hyperlink r:id="rId4" w:history="1">
        <w:r w:rsidR="00A15A3F" w:rsidRPr="00A15A3F">
          <w:rPr>
            <w:rFonts w:asciiTheme="minorHAnsi" w:eastAsiaTheme="minorHAnsi" w:hAnsiTheme="minorHAnsi" w:cstheme="minorBidi"/>
            <w:color w:val="0000FF"/>
            <w:sz w:val="22"/>
            <w:szCs w:val="22"/>
            <w:u w:val="single"/>
            <w:lang w:eastAsia="en-US"/>
          </w:rPr>
          <w:t>Osaamisen arviointi ammatillisessa koulutuksessa | Opetushallitus (oph.fi)</w:t>
        </w:r>
      </w:hyperlink>
    </w:p>
    <w:p w14:paraId="213A516E" w14:textId="7A66B8D5" w:rsidR="00DC4E31" w:rsidRDefault="00A15A3F">
      <w:pPr>
        <w:rPr>
          <w:sz w:val="24"/>
          <w:szCs w:val="24"/>
        </w:rPr>
      </w:pPr>
      <w:r>
        <w:rPr>
          <w:sz w:val="24"/>
          <w:szCs w:val="24"/>
        </w:rPr>
        <w:t>Liikunnan ja valmennuksen</w:t>
      </w:r>
      <w:r w:rsidR="00EC33A3" w:rsidRPr="004B6BF6">
        <w:rPr>
          <w:sz w:val="24"/>
          <w:szCs w:val="24"/>
        </w:rPr>
        <w:t xml:space="preserve"> ammattitutkinnon tutkinnon perusteet:</w:t>
      </w:r>
      <w:r w:rsidR="00DC4E31" w:rsidRPr="004B6BF6">
        <w:rPr>
          <w:sz w:val="24"/>
          <w:szCs w:val="24"/>
        </w:rPr>
        <w:t xml:space="preserve"> </w:t>
      </w:r>
    </w:p>
    <w:p w14:paraId="51CDAA1B" w14:textId="1F4E9915" w:rsidR="00A15A3F" w:rsidRPr="004B6BF6" w:rsidRDefault="00A15A3F">
      <w:pPr>
        <w:rPr>
          <w:sz w:val="24"/>
          <w:szCs w:val="24"/>
        </w:rPr>
      </w:pPr>
      <w:hyperlink r:id="rId5" w:anchor="/fi/ammattitutkinto/2598340/tiedot" w:history="1">
        <w:r w:rsidRPr="00A15A3F">
          <w:rPr>
            <w:color w:val="0000FF"/>
            <w:u w:val="single"/>
          </w:rPr>
          <w:t>Liikunnan ja valmennuksen ammattitutkinto - ePerusteet (opintopolku.fi)</w:t>
        </w:r>
      </w:hyperlink>
    </w:p>
    <w:p w14:paraId="114B7E97" w14:textId="3A67347C" w:rsidR="00A15A3F" w:rsidRPr="00A15A3F" w:rsidRDefault="00A15A3F">
      <w:pPr>
        <w:rPr>
          <w:sz w:val="24"/>
          <w:szCs w:val="24"/>
        </w:rPr>
      </w:pPr>
      <w:r w:rsidRPr="00A15A3F">
        <w:rPr>
          <w:sz w:val="24"/>
          <w:szCs w:val="24"/>
        </w:rPr>
        <w:t>Valmennuksen osaamisalan suorittanut voi toimia valmennustehtävissä kolmannella sektorilla tai yksityisellä sektorilla. Kolmannella sektorilla tavallisimpia työympäristöjä ovat liikunta- ja urheiluseurat ja julkisella sektorilla tavallisimpia työympäristöjä ovat valmennuskeskukset ja urheiluakatemiat. Yksityisellä sektorilla valmennuksen osaamisalan suorittanut työskentelee urheilun ammattiorganisaatioissa tai yksityisenä yrittäjänä valmennustyössä.</w:t>
      </w:r>
    </w:p>
    <w:p w14:paraId="2455561C" w14:textId="3B9B09FF" w:rsidR="00A15A3F" w:rsidRPr="00A15A3F" w:rsidRDefault="00A15A3F">
      <w:pPr>
        <w:rPr>
          <w:sz w:val="24"/>
          <w:szCs w:val="24"/>
        </w:rPr>
      </w:pPr>
      <w:r w:rsidRPr="00A15A3F">
        <w:rPr>
          <w:sz w:val="24"/>
          <w:szCs w:val="24"/>
        </w:rPr>
        <w:t>Tutkinto koostuu pakollisesta tutkinnon osasta (Ammatillinen toiminta valmentajana ja valinnaisesta tutkinnon osasta (Lasten, nuorten tai aikuisten valmentaminen)</w:t>
      </w:r>
      <w:r w:rsidR="005E692B">
        <w:rPr>
          <w:sz w:val="24"/>
          <w:szCs w:val="24"/>
        </w:rPr>
        <w:t xml:space="preserve">  Tutkinnon perusteiden pohjana on ollut Suomalainen Valmennusosaamisen malli.</w:t>
      </w:r>
    </w:p>
    <w:p w14:paraId="259DD288" w14:textId="77777777" w:rsidR="004B6BF6" w:rsidRDefault="004B6BF6" w:rsidP="00EC33A3">
      <w:pPr>
        <w:rPr>
          <w:sz w:val="24"/>
          <w:szCs w:val="24"/>
        </w:rPr>
      </w:pPr>
    </w:p>
    <w:p w14:paraId="32A26AB9" w14:textId="77777777" w:rsidR="004B6BF6" w:rsidRDefault="004B6BF6" w:rsidP="004B6BF6">
      <w:pPr>
        <w:pStyle w:val="Otsikko2"/>
      </w:pPr>
      <w:r>
        <w:t>Valmentajan polku</w:t>
      </w:r>
    </w:p>
    <w:p w14:paraId="1BE50158" w14:textId="77777777" w:rsidR="004B6BF6" w:rsidRPr="004B6BF6" w:rsidRDefault="004B6BF6" w:rsidP="004B6BF6"/>
    <w:p w14:paraId="3B71410B" w14:textId="77777777" w:rsidR="00EC33A3" w:rsidRPr="004B6BF6" w:rsidRDefault="00EC33A3" w:rsidP="00EC33A3">
      <w:pPr>
        <w:rPr>
          <w:sz w:val="24"/>
          <w:szCs w:val="24"/>
        </w:rPr>
      </w:pPr>
      <w:r w:rsidRPr="004B6BF6">
        <w:rPr>
          <w:sz w:val="24"/>
          <w:szCs w:val="24"/>
        </w:rPr>
        <w:t>Ammattitutkintojen valmistaviin koulutuksiin hakeutumiselle ei ole ennakkoehtoja.  Tutkinnon suorittaminen henkilökohtaistetaan.  Hakeutumisvaiheen henkilökohtaistamisessa selvitetään mm. hakijan lähtötilanne.  Tarpeen mukaan hakija voidaan ohjata hänelle paremmin soveltuvaan koulutukseen, esimerkiksi lajiliitojen 1-3.tasojen koulutuksiin ennen ammattitutkinnon valmistavaan koulutukseen hakeutumista.</w:t>
      </w:r>
      <w:r w:rsidR="003E7ACF" w:rsidRPr="004B6BF6">
        <w:rPr>
          <w:sz w:val="24"/>
          <w:szCs w:val="24"/>
        </w:rPr>
        <w:t xml:space="preserve"> Valmentajan ammattitutkinnon jälkeen valmentaja voi hakeutua valmentajan erikoisammattitutkinnolle tai korkea-asteen koulutukseen. Mikäli </w:t>
      </w:r>
      <w:r w:rsidR="003E7ACF" w:rsidRPr="004B6BF6">
        <w:rPr>
          <w:sz w:val="24"/>
          <w:szCs w:val="24"/>
        </w:rPr>
        <w:lastRenderedPageBreak/>
        <w:t>valmentaja ei ole suorittanut lajiliiton 3-tason koulutusta ennen Valmentajan ammattitutkintoa, tuo se varmasti lisäarvoa valmentajan osaamiseen.</w:t>
      </w:r>
    </w:p>
    <w:p w14:paraId="02D9260E" w14:textId="77777777" w:rsidR="00F975A5" w:rsidRPr="004B6BF6" w:rsidRDefault="00F975A5" w:rsidP="00EC33A3">
      <w:pPr>
        <w:rPr>
          <w:sz w:val="24"/>
          <w:szCs w:val="24"/>
        </w:rPr>
      </w:pPr>
      <w:r w:rsidRPr="004B6BF6">
        <w:rPr>
          <w:sz w:val="24"/>
          <w:szCs w:val="24"/>
        </w:rPr>
        <w:t>Tutkintojen ja muun osaamisen eurooppalaisessa kahdeksanportaisessa viitekehyksessä (EQF) ammattitutkinnot sijoittuvat tasolle 4.</w:t>
      </w:r>
    </w:p>
    <w:sectPr w:rsidR="00F975A5" w:rsidRPr="004B6BF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78"/>
    <w:rsid w:val="00007A78"/>
    <w:rsid w:val="00356A75"/>
    <w:rsid w:val="003E7ACF"/>
    <w:rsid w:val="004B6BF6"/>
    <w:rsid w:val="004E3DD3"/>
    <w:rsid w:val="005E692B"/>
    <w:rsid w:val="00A15A3F"/>
    <w:rsid w:val="00A27FE9"/>
    <w:rsid w:val="00A33032"/>
    <w:rsid w:val="00DC4E31"/>
    <w:rsid w:val="00EC33A3"/>
    <w:rsid w:val="00F975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0F74"/>
  <w15:docId w15:val="{B87BCBFE-AAC3-4706-92D4-E230118E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4B6B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4B6B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07A7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DC4E31"/>
    <w:rPr>
      <w:color w:val="0000FF" w:themeColor="hyperlink"/>
      <w:u w:val="single"/>
    </w:rPr>
  </w:style>
  <w:style w:type="character" w:customStyle="1" w:styleId="Otsikko1Char">
    <w:name w:val="Otsikko 1 Char"/>
    <w:basedOn w:val="Kappaleenoletusfontti"/>
    <w:link w:val="Otsikko1"/>
    <w:uiPriority w:val="9"/>
    <w:rsid w:val="004B6BF6"/>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4B6BF6"/>
    <w:rPr>
      <w:rFonts w:asciiTheme="majorHAnsi" w:eastAsiaTheme="majorEastAsia" w:hAnsiTheme="majorHAnsi" w:cstheme="majorBidi"/>
      <w:b/>
      <w:bCs/>
      <w:color w:val="4F81BD" w:themeColor="accent1"/>
      <w:sz w:val="26"/>
      <w:szCs w:val="26"/>
    </w:rPr>
  </w:style>
  <w:style w:type="character" w:styleId="AvattuHyperlinkki">
    <w:name w:val="FollowedHyperlink"/>
    <w:basedOn w:val="Kappaleenoletusfontti"/>
    <w:uiPriority w:val="99"/>
    <w:semiHidden/>
    <w:unhideWhenUsed/>
    <w:rsid w:val="00A15A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622657">
      <w:bodyDiv w:val="1"/>
      <w:marLeft w:val="0"/>
      <w:marRight w:val="0"/>
      <w:marTop w:val="0"/>
      <w:marBottom w:val="0"/>
      <w:divBdr>
        <w:top w:val="none" w:sz="0" w:space="0" w:color="auto"/>
        <w:left w:val="none" w:sz="0" w:space="0" w:color="auto"/>
        <w:bottom w:val="none" w:sz="0" w:space="0" w:color="auto"/>
        <w:right w:val="none" w:sz="0" w:space="0" w:color="auto"/>
      </w:divBdr>
      <w:divsChild>
        <w:div w:id="300186870">
          <w:marLeft w:val="0"/>
          <w:marRight w:val="0"/>
          <w:marTop w:val="0"/>
          <w:marBottom w:val="0"/>
          <w:divBdr>
            <w:top w:val="none" w:sz="0" w:space="0" w:color="auto"/>
            <w:left w:val="none" w:sz="0" w:space="0" w:color="auto"/>
            <w:bottom w:val="none" w:sz="0" w:space="0" w:color="auto"/>
            <w:right w:val="none" w:sz="0" w:space="0" w:color="auto"/>
          </w:divBdr>
          <w:divsChild>
            <w:div w:id="899286640">
              <w:marLeft w:val="0"/>
              <w:marRight w:val="0"/>
              <w:marTop w:val="0"/>
              <w:marBottom w:val="0"/>
              <w:divBdr>
                <w:top w:val="none" w:sz="0" w:space="0" w:color="auto"/>
                <w:left w:val="none" w:sz="0" w:space="0" w:color="auto"/>
                <w:bottom w:val="none" w:sz="0" w:space="0" w:color="auto"/>
                <w:right w:val="none" w:sz="0" w:space="0" w:color="auto"/>
              </w:divBdr>
              <w:divsChild>
                <w:div w:id="238948711">
                  <w:marLeft w:val="0"/>
                  <w:marRight w:val="0"/>
                  <w:marTop w:val="0"/>
                  <w:marBottom w:val="0"/>
                  <w:divBdr>
                    <w:top w:val="none" w:sz="0" w:space="0" w:color="auto"/>
                    <w:left w:val="none" w:sz="0" w:space="0" w:color="auto"/>
                    <w:bottom w:val="none" w:sz="0" w:space="0" w:color="auto"/>
                    <w:right w:val="none" w:sz="0" w:space="0" w:color="auto"/>
                  </w:divBdr>
                  <w:divsChild>
                    <w:div w:id="430323219">
                      <w:marLeft w:val="0"/>
                      <w:marRight w:val="0"/>
                      <w:marTop w:val="0"/>
                      <w:marBottom w:val="0"/>
                      <w:divBdr>
                        <w:top w:val="none" w:sz="0" w:space="0" w:color="auto"/>
                        <w:left w:val="none" w:sz="0" w:space="0" w:color="auto"/>
                        <w:bottom w:val="none" w:sz="0" w:space="0" w:color="auto"/>
                        <w:right w:val="none" w:sz="0" w:space="0" w:color="auto"/>
                      </w:divBdr>
                      <w:divsChild>
                        <w:div w:id="309405916">
                          <w:marLeft w:val="0"/>
                          <w:marRight w:val="0"/>
                          <w:marTop w:val="0"/>
                          <w:marBottom w:val="0"/>
                          <w:divBdr>
                            <w:top w:val="none" w:sz="0" w:space="0" w:color="auto"/>
                            <w:left w:val="none" w:sz="0" w:space="0" w:color="auto"/>
                            <w:bottom w:val="none" w:sz="0" w:space="0" w:color="auto"/>
                            <w:right w:val="none" w:sz="0" w:space="0" w:color="auto"/>
                          </w:divBdr>
                          <w:divsChild>
                            <w:div w:id="1035616815">
                              <w:marLeft w:val="0"/>
                              <w:marRight w:val="0"/>
                              <w:marTop w:val="0"/>
                              <w:marBottom w:val="0"/>
                              <w:divBdr>
                                <w:top w:val="none" w:sz="0" w:space="0" w:color="auto"/>
                                <w:left w:val="none" w:sz="0" w:space="0" w:color="auto"/>
                                <w:bottom w:val="none" w:sz="0" w:space="0" w:color="auto"/>
                                <w:right w:val="none" w:sz="0" w:space="0" w:color="auto"/>
                              </w:divBdr>
                              <w:divsChild>
                                <w:div w:id="751664218">
                                  <w:marLeft w:val="0"/>
                                  <w:marRight w:val="0"/>
                                  <w:marTop w:val="0"/>
                                  <w:marBottom w:val="0"/>
                                  <w:divBdr>
                                    <w:top w:val="none" w:sz="0" w:space="0" w:color="auto"/>
                                    <w:left w:val="none" w:sz="0" w:space="0" w:color="auto"/>
                                    <w:bottom w:val="none" w:sz="0" w:space="0" w:color="auto"/>
                                    <w:right w:val="none" w:sz="0" w:space="0" w:color="auto"/>
                                  </w:divBdr>
                                  <w:divsChild>
                                    <w:div w:id="970792546">
                                      <w:marLeft w:val="0"/>
                                      <w:marRight w:val="0"/>
                                      <w:marTop w:val="0"/>
                                      <w:marBottom w:val="0"/>
                                      <w:divBdr>
                                        <w:top w:val="none" w:sz="0" w:space="0" w:color="auto"/>
                                        <w:left w:val="none" w:sz="0" w:space="0" w:color="auto"/>
                                        <w:bottom w:val="none" w:sz="0" w:space="0" w:color="auto"/>
                                        <w:right w:val="none" w:sz="0" w:space="0" w:color="auto"/>
                                      </w:divBdr>
                                      <w:divsChild>
                                        <w:div w:id="20676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perusteet.opintopolku.fi/beta/" TargetMode="External"/><Relationship Id="rId4" Type="http://schemas.openxmlformats.org/officeDocument/2006/relationships/hyperlink" Target="https://www.oph.fi/fi/koulutus-ja-tutkinnot/ammatillinen-koulutus/osaamisen-arviointi-ammatillisessa-koulutuksess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322</Words>
  <Characters>2614</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Kipi</dc:creator>
  <cp:lastModifiedBy>Kirsi Hämäläinen</cp:lastModifiedBy>
  <cp:revision>3</cp:revision>
  <dcterms:created xsi:type="dcterms:W3CDTF">2021-05-27T08:50:00Z</dcterms:created>
  <dcterms:modified xsi:type="dcterms:W3CDTF">2021-05-27T09:36:00Z</dcterms:modified>
</cp:coreProperties>
</file>